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2013/519 vom 2. September 2015</w:t>
      </w:r>
    </w:p>
    <w:p>
      <w:r>
        <w:t>Sg Versicherungsgericht, 2015-09-02, DE</w:t>
      </w:r>
    </w:p>
    <w:p>
      <w:r>
        <w:rPr>
          <w:b/>
        </w:rPr>
        <w:t xml:space="preserve">Quelle: </w:t>
      </w:r>
      <w:r>
        <w:t>https://mcp.opencaselaw.ch/entscheid/sg_publikationen_IV 2013_519</w:t>
      </w:r>
    </w:p>
    <w:p>
      <w:r>
        <w:t>FR: SG_VERSICHERUNGSGERICHT IV 2013/519 du 2 septembre 2015</w:t>
      </w:r>
    </w:p>
    <w:p>
      <w:r>
        <w:t>IT: SG_VERSICHERUNGSGERICHT IV 2013/519 del 2 settembre 2015</w:t>
      </w:r>
    </w:p>
    <w:p>
      <w:pPr>
        <w:pStyle w:val="Heading2"/>
      </w:pPr>
      <w:r>
        <w:t>Regeste</w:t>
      </w:r>
    </w:p>
    <w:p>
      <w:r>
        <w:t>Art. 28 IVG, Art. 17 ATSG. Rentenrevision. Vergabe des Gutachtensauftrags nicht zu beanstanden. Gutachten beweiskräftig. Gemischte Methode. Einkommensvergleich. Herabsetzung auf Viertelsrente nicht zu beanstanden. (Entscheid des Versicherungsgerichts des Kantons St. Gallen vom 2. September 2015, IV 2013/519).</w:t>
      </w:r>
    </w:p>
    <w:p>
      <w:pPr>
        <w:pStyle w:val="Heading2"/>
      </w:pPr>
      <w:r>
        <w:t>Erwägungen</w:t>
      </w:r>
    </w:p>
    <w:p>
      <w:r>
        <w:rPr>
          <w:b/>
        </w:rPr>
        <w:t>E. 1</w:t>
      </w:r>
    </w:p>
    <w:p>
      <w:r>
        <w:t>Zwischen den Parteien umstritten und nachfolgend zu prüfen ist die Frage, ob die verfügte Rentenherabsetzung zu Recht erfolgt ist.</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2.3   Ändert sich der Invaliditätsgrad einer rentenbeziehenden Person erheblich, so wird die 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Ein Revisionsgrund ist auch gegeben und die Rente allenfalls nach unten oder nach oben anzupassen, wenn sich die erwerblichen Auswirkungen des an sich gleich gebliebenen Gesundheitszustandes erheblich verändert haben (BGE 133 V 546 E. 6.1).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(vgl. Ueli Kieser, ATSG-Kommentar, 2. Auflage, Zürich 2009, Rz 18 zu Art. 17 ATSG; zum Ganzen Urteil des Bundesgerichts vom 31. Januar 2012, 9C_869/2011, E. 3.1).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2.4   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Die Herabsetzung oder Aufhebung der Rente erfolgt frühestens vom ersten Tag des zweiten der Zustellung der Verfügung folgenden Monats an (Art. 88 bis Abs. 2 lit. a IVV).</w:t>
      </w:r>
    </w:p>
    <w:p>
      <w:r>
        <w:rPr>
          <w:b/>
        </w:rPr>
        <w:t>E. 3</w:t>
      </w:r>
    </w:p>
    <w:p>
      <w:r>
        <w:t>3.1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mit Hinweisen). 3.2   In der Verfügung vom 22. Januar 2009 wurde die Beschwerdeführerin als 100% Erwerbstätige eingestuft (IV-act. 84 und 89 ff.). In der Verfügung vom 18. September 2013 wurde die gemischte Methode mit der Einstufung in 80% Erwerb und 20% Haushalt angewendet (IV-act. 171 f.). Demzufolge ist aufgrund der geänderten Invaliditätsbemessungsmethode ein Revisionsgrund zu bejahen (vgl. Urteil des Eidgenössischen Versicherungsgerichts [EVG; seit 1. Januar 2007: Sozialrechtliche Abteilung des Bundesgerichts] vom 3. Juli 2006, I 86/06, E. 3 f.).</w:t>
      </w:r>
    </w:p>
    <w:p>
      <w:r>
        <w:rPr>
          <w:b/>
        </w:rPr>
        <w:t>E. 4</w:t>
      </w:r>
    </w:p>
    <w:p>
      <w:r>
        <w:t>4.1   In medizinischer Hinsicht stützt sich die angefochtene Revisionsverfügung vom 18. September 2013 (IV-act. 171 f.) auf das Gutachten von Dr. D.___ vom 29. April 2013 (IV-act. 161). Dieses Gutachten hält die Beschwerdeführerin aus verschiedenen Gründen für nicht beweiskräftig. 4.2   Die Beschwerdeführerin macht geltend, dass die Vergabe des Gutachtensauftrags nicht korrekt erfolgt sei. Einerseits werde bezweifelt, dass Dr. D.___ als Leistungserbringer der Eidg. Invalidenversicherung zugelassen sei, da er nicht in der Schweiz tätig sei und nicht der Schweizerischen Gesellschaft für Psychiatrie und Psychotherapie SGPP angehöre und für ihn damit wohl die Qualitätsleitlinien für psychiatrische Gutachten in der Eidg. Invalidenversicherung nicht gelten würden. Ausserdem seien bei der Begutachtung insgesamt drei Fachdisziplinen involviert gewesen, womit gemäss Art. 72 bis Abs. 1 IVV diese Begutachtung an einer Stelle, welche mit dem Bundesamt eine Vereinbarung getroffen hat, hätte vorgenommen werden müssen. Darüber hinaus hätte die Vergabe des Auftrags gemäss Art. 72 bis Abs. 2 IVV nach dem Zufallsprinzip erfolgen müssen (act. G 1, Ziff. 4). 4.2.1         Dr. D.___ verfügt unbestrittenermassen über eine Ausbildung als Facharzt für Neurologie und Psychiatrie sowie über eine entsprechende Gleichwertigkeitsanerkennung des (schweizerischen) Bundesamtes für Gesundheit (vgl. www.medregom.admin.ch). Als Anforderungsprofil für die Fachdisziplin Psychiatrie werden die Leitlinien der Schweizerischen Gesellschaft für Versicherungspsychiatrie für die Begutachtung psychischer Störungen (in: Schweizerische Ärztezeitung, 2004, S. 1049 f.) als Standard herangezogen. Diese haben zwar nicht verbindlich-behördlichen Charakter, formulieren aber doch den fachlich anerkannten Standard, welcher in der Schweiz für eine sachgerechte, rechtsgleiche psychiatrische Begutachtungspraxis in der Sozialversicherung gelten soll. Deshalb nimmt denn auch die Rechtsprechung darauf immer wieder Bezug. Nach Ziff. II/6 der genannten Richtlinien bildet "eine Facharztausbildung in Psychiatrie und Psychotherapie" eine der Voraussetzungen auf Seiten des Gutachters (Urteil des Bundesgerichts vom 20. November 2007, I 142/07, E. 3.2.4). Eine Praxisbewilligung in der Schweiz ist demgegenüber nicht Voraussetzung für die Begutachtung von Versicherten (vgl. auch Urteil des Bundesgerichts vom 14. März 2013, 8C_646/2012, E. 3.2.3). 4.2.2         Die IV-Stelle hat Dr. D.___ den Auftrag für eine medizinische Abklärung erteilt. Er solle eine bidisziplinäre Begutachtung, neurologisch und psychiatrisch inkl. neuropsychologische Testung durchführen (IV-act. 154-1). Entgegen der Ansicht der Beschwerdeführerin handelt es sich bei der neuropsychologischen Testung um keine eigenständige Fachdisziplin. Gemäss den Qualitätsleitlinien für psychiatrische Gutachten in der Eidg. Invalidenversicherung können testpsychologische Untersuchungen eine Ergänzung sein. Entscheidend ist aber die klinische Untersuchung in Kenntnis der Anamnese. Dass die neuropsychologische Testung von Dr. D.___ als Facharzt für Neurologie und Psychiatrie durchgeführt wurde, ist ebenfalls nicht zu bemängeln. 4.2.3         Zusammenfassend ist die Vergabe des Gutachtensauftrags an Dr. D.___ nicht zu beanstanden. 4.3   Weiter macht die Beschwerdeführerin geltend, dass sich Dr. D.___ nicht kritisch mit den Feststellungen der MEDAS-Gutachter auseinandergesetzt habe. Zudem sei der Bericht von Dr. C.___ vom 23. August 2012 nicht ins Gutachten aufgenommen worden und Dr. D.___ habe sich nicht mit derer Meinung auseinandergesetzt. Insgesamt sei das Gutachten nicht in Kenntnis bzw. nicht unter Berücksichtigung der Vorakten abgegeben worden, leuchte in der Beurteilung der medizinischen Zusammenhänge und Situation nicht ein und die Schlussfolgerungen seien nicht begründet (act. G 1, Ziff. 5). 4.3.1         Im Schreiben vom 23. August 2012 äussert sich Dr. C.___ insbesondere zu den Einschränkungen in der Haushaltsführung. Sie kritisiert die Annahme der Beschwerdegegnerin, dass die Beschwerdeführerin gemäss Verfügung vom 10. Juni 2012 die Haushaltsführung ohne Einschränkung erledigen könne. Sie bezieht sich insbesondere auf das MEDAS-Gutachten vom 27. Mai 2008 und macht geltend, dass die neuropsychologischen Defizite auch bei der Haushaltsführung zum Tragen kommen würden und die Beschwerdeführerin nicht in der Lage sei, die Haushaltsarbeiten ohne Einschränkungen und ohne Hilfe zu erledigen (act. G. 1.4). 4.3.2         In der auszugsweisen Wiedergabe der gutachtensrelevanten Akten ist das Schreiben von Dr. C.___ vom 23. August 2012 nicht aufgeführt. Da sich dieses Schreiben inhaltlich im Wesentlichen aber auf das (bekannte) MEDAS-Gutachten bezieht und Dr. D.___ in Übereinstimmung mit Dr. C.___ zum Schluss kommt, dass die Beschwerdeführerin auch im Haushalt eingeschränkt sei (vgl. IV-act. 161-15), lässt sich daraus kein Mangel am Gutachten erkennen. 4.3.3         Entgegen den Ausführungen der Beschwerdeführerin legt Dr. D.___ im Gutachten klar dar, weshalb er die Einschätzung einer nicht mehr vorhandenen beruflichen Leistungsfähigkeit in der freien Wirtschaft des MEDAS-Gutachtens für nicht nachvollziehbar hält. Er begründet dies einerseits mit den klinischen und neuropsychologischen Testbefunden sowie mit dem ausgeübten Teilzeitpensum von 20-25%. Dass es sich um eine Tätigkeit im geschützten Rahmen handle, werde durch die Berichte über mehrfache Anhebungen der Entlohnung sowie die Anerkennung der Leistung der Versicherten entsprechend dem gezahlten Lohn widerlegt (IV-act. 161-14). Zudem gab die Abklärungsperson bereits im Abklärungsbericht Haushalt vom 14. Mai 2012 an, dass die Versicherte seit Februar 2006 mit einem 25%igen Pensum in der freien Wirtschaft arbeite, dies im Beruf als Modeverkäuferin, der am Samstag mit Stressfaktoren verbunden sei (IV-act. 117-5). Dies wird auch in der Stellungnahme des RAD vom 15. Juni 2012 bestätigt, wonach die Beschwerdeführerin mit der aktuellen Verkaufstätigkeit eine maximale Arbeitsfähigkeit in der freien Wirtschaft, realisiert an einem idealen Arbeitsplatz, verwirkliche (IV-act. 122). Auch in der Stellungnahme des Fachbereichs vom 21. November 2012 wird festgehalten, dass die Beschwerdeführerin seit 2006 wieder in der freien Wirtschaft arbeite (IV-act. 142). 4.4   Zusammenfassend bestehen keine Zweifel an dem auf umfassenden Untersuchungen beruhenden, in Kenntnis der vollständigen Aktenlage und in Berücksichtigung des gesamten Leidensbildes ergangenen nachvollziehbaren Gutachten von Dr. D.___ vom 29. April 2013. Gestützt darauf ist davon auszugehen dass die Beschwerdeführerin in ihrer angestammten Tätigkeit als Modeverkäufern zu 40% arbeitsfähig ist. Es besteht kein Bedarf für die Vornahme weiterer medizinischer Abklärungen.</w:t>
      </w:r>
    </w:p>
    <w:p>
      <w:r>
        <w:rPr>
          <w:b/>
        </w:rPr>
        <w:t>E. 5</w:t>
      </w:r>
    </w:p>
    <w:p>
      <w:r>
        <w:t>5.1   Die Qualifikation der Beschwerdeführerin als zu 80% erwerbstätig und zu 20% im Haushalt tätig ist unbestritten und nicht zu beanstanden. Die Beschwerdegegnerin geht in der angefochtenen Verfügung davon aus, dass im Haushalt keine Einschränkung bestehe, da die Abklärung vor Ort ergeben habe, dass die Beschwerdeführerin den Haushalt selbständig erledigen könne und auch eine Mitwirkungspflicht des Ehemannes bestehe (IV-act. 171-2). Die Beschwerdeführerin bringt dagegen hervor, dass selbst Dr. D.___ eine Einschränkung im Haushalt von 25% festgelegt habe. Bei der Abklärung vor Ort fehle eine detaillierte Verifizierung der jeweiligen Einschränkungen pro Aufgabenbereich inkl. Bemessung des zeitlichen Aufwands. Bezüglich der Mitwirkungspflicht des Ehemannes sei festzuhalten, dass die Invalidität grundsätzlich unabhängig von der Verfügbarkeit mithelfender Familienangehöriger zu bemessen sei (act. G 1, Ziff. 6 f.). 5.2   Die Frage der Einschränkung im Haushalt kann jedoch – wie nachfolgend zu zeigen sein wird – offen gelassen werden.</w:t>
      </w:r>
    </w:p>
    <w:p>
      <w:r>
        <w:rPr>
          <w:b/>
        </w:rPr>
        <w:t>E. 6</w:t>
      </w:r>
    </w:p>
    <w:p>
      <w:r>
        <w:t>6.1   Das Valideneinkommen wurde bei der ursprünglichen rentenzusprechenden Ver­fügung vom 21. November 2008 mit Fr. 54'219.-- festgelegt (vgl. IV-act. 80 und 84-1). Da sich diesbezüglich keine Änderung im Sachverhalt ergeben hat, ist darauf abzustellen. Angepasst an die Nominallohnentwicklung von 2008 bis 2013 (Index 2008: 2'499, 2013: 2'648) und unter Berücksichtigung der 80%igen Erwerbstätigkeit ergibt dies ein Valideneinkommen von Fr. 45‘961.-- ([Fr. 54'219.-- / 2'499 x 2'648] x 0.8). 6.2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(BGE 135 V 297 E. 5.2). 6.3   Vorliegend schöpft die Beschwerdeführerin die gemäss Gutachten bestehende Restarbeitsfähigkeit als Modeverkäuferin nicht voll aus. Demnach ist als Invalideneinkommen entsprechend der gutachterlichen Schätzung ein Anteil von 40% des auf 100% aufgerechneten Valideneinkommens zu berücksichtigen, was für 2013 einen Betrag von Fr. 22'981.-- (Fr. 45'961.-- / 0.8 x 0.4) ergibt. Der ungewichtete Invaliditätsgrad im Erwerbsbereich beläuft sich bei Gegenüberstellung dieses Invalideneinkommens mit einem Valideneinkommen von Fr. 45'961.-- auf 50% (1 – [22981.-- / Fr. 45‘961.-- x 100]); daraus resultiert ein gemäss bundesgerichtlicher Rechtsprechung auf das 80%ige Erwerbspensum zu beziehender Teilinvaliditätsgrad von 40% (50% x 0.8). Selbst wenn gemäss Gutachten eine Einschränkung im Haushalt von 25% (vgl. IV-act. 161-15) berücksichtigt würde, ergäbe sich für diesen Aufgabenbereich ein Teilinvaliditätsgrad von maximal 5% (25% x 0.2). Gesamthaft ist somit ein nicht mehr als eine Viertelsrente begründender Invaliditätsgrad von höchstens 45% ausgewiesen.</w:t>
      </w:r>
    </w:p>
    <w:p>
      <w:r>
        <w:rPr>
          <w:b/>
        </w:rPr>
        <w:t>E. 7</w:t>
      </w:r>
    </w:p>
    <w:p>
      <w:r>
        <w:t>Nach dem Gesagten ist die Beschwerde abzuweisen. Das Beschwerdeverfahren ist kostenpflichtig. Die Kosten werden nach dem Verfahrensaufwand und unabhängig vom Streitwert im Rahmen von Fr. 200.-- bis Fr. 1'000.--festgelegt (Art. 69 Abs. 1 bis IVG). Eine Gerichtsgebühr von Fr. 600.-- erscheint in der vorliegend zu beurteilenden Angelegenheit als angemessen. Dem Ausgang des Verfahrens entsprechend sind die Kosten vollumfänglich der Beschwerdeführerin aufzuerlegen. Der von ihr geleistete Kostenvorschuss ist daran anzurechnen. Entscheid im Zirkulationsverfahren gemäss Art. 39 VRP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